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72" w:rsidRDefault="00ED5672" w:rsidP="00810B64">
      <w:pPr>
        <w:spacing w:after="120" w:line="264" w:lineRule="auto"/>
      </w:pPr>
      <w:r w:rsidRPr="00066524">
        <w:rPr>
          <w:rFonts w:eastAsia="MS Mincho"/>
          <w:noProof/>
          <w:lang w:eastAsia="en-US"/>
        </w:rPr>
        <w:t>УДК</w:t>
      </w:r>
      <w:r w:rsidRPr="00C34606">
        <w:rPr>
          <w:rFonts w:eastAsia="MS Mincho"/>
          <w:noProof/>
          <w:lang w:eastAsia="en-US"/>
        </w:rPr>
        <w:t xml:space="preserve"> (</w:t>
      </w:r>
      <w:r>
        <w:rPr>
          <w:rFonts w:eastAsia="MS Mincho"/>
          <w:noProof/>
          <w:lang w:eastAsia="en-US"/>
        </w:rPr>
        <w:t>третьего уровня</w:t>
      </w:r>
      <w:r w:rsidRPr="00C34606">
        <w:rPr>
          <w:rFonts w:eastAsia="MS Mincho"/>
          <w:noProof/>
          <w:lang w:eastAsia="en-US"/>
        </w:rPr>
        <w:t>)</w:t>
      </w:r>
    </w:p>
    <w:p w:rsidR="00ED5672" w:rsidRPr="00ED5672" w:rsidRDefault="00ED5672" w:rsidP="00810B64">
      <w:pPr>
        <w:pStyle w:val="2"/>
        <w:spacing w:before="120" w:line="360" w:lineRule="auto"/>
        <w:jc w:val="center"/>
        <w:rPr>
          <w:rFonts w:ascii="Times New Roman" w:eastAsia="MS Mincho" w:hAnsi="Times New Roman" w:cs="Times New Roman"/>
          <w:noProof/>
          <w:sz w:val="24"/>
          <w:szCs w:val="24"/>
          <w:lang w:eastAsia="en-US"/>
        </w:rPr>
      </w:pP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И. О. Фамилия</w:t>
      </w:r>
      <w:proofErr w:type="gramStart"/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</w:t>
      </w:r>
      <w:proofErr w:type="gramEnd"/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(первого автора), И. О. Фамилия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2</w:t>
      </w:r>
      <w:r w:rsidRPr="00ED567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(второго автора)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ED5672">
        <w:rPr>
          <w:rFonts w:ascii="Times New Roman" w:eastAsia="MS Mincho" w:hAnsi="Times New Roman" w:cs="Times New Roman"/>
          <w:smallCaps/>
          <w:noProof/>
          <w:color w:val="000000" w:themeColor="text1"/>
          <w:sz w:val="24"/>
          <w:szCs w:val="24"/>
          <w:lang w:eastAsia="en-US"/>
        </w:rPr>
        <w:t>Н</w:t>
      </w:r>
      <w:r w:rsidRPr="00ED5672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  <w:lang w:eastAsia="en-US"/>
        </w:rPr>
        <w:t>АЗВАНИЕ СТАТЬИ НА РУССКОМ ЯЗЫКЕ*</w:t>
      </w:r>
    </w:p>
    <w:p w:rsidR="00ED5672" w:rsidRPr="00066524" w:rsidRDefault="00ED5672" w:rsidP="00810B64">
      <w:pPr>
        <w:spacing w:line="264" w:lineRule="auto"/>
        <w:jc w:val="center"/>
        <w:rPr>
          <w:i/>
        </w:rPr>
      </w:pPr>
      <w:r w:rsidRPr="00066524">
        <w:rPr>
          <w:vertAlign w:val="superscript"/>
        </w:rPr>
        <w:t>1</w:t>
      </w:r>
      <w:r w:rsidRPr="00066524">
        <w:rPr>
          <w:i/>
        </w:rPr>
        <w:t xml:space="preserve">Организация, в </w:t>
      </w:r>
      <w:proofErr w:type="gramStart"/>
      <w:r w:rsidRPr="00066524">
        <w:rPr>
          <w:i/>
        </w:rPr>
        <w:t>которой</w:t>
      </w:r>
      <w:proofErr w:type="gramEnd"/>
      <w:r w:rsidRPr="00066524">
        <w:rPr>
          <w:i/>
        </w:rPr>
        <w:t xml:space="preserve"> работает первый автор, город, страна</w:t>
      </w:r>
    </w:p>
    <w:p w:rsidR="00ED5672" w:rsidRPr="00066524" w:rsidRDefault="00ED5672" w:rsidP="00810B64">
      <w:pPr>
        <w:spacing w:line="264" w:lineRule="auto"/>
        <w:jc w:val="center"/>
        <w:rPr>
          <w:i/>
        </w:rPr>
      </w:pPr>
      <w:r w:rsidRPr="00066524">
        <w:rPr>
          <w:vertAlign w:val="superscript"/>
        </w:rPr>
        <w:t>2</w:t>
      </w:r>
      <w:r w:rsidRPr="00066524">
        <w:rPr>
          <w:i/>
        </w:rPr>
        <w:t>Организация, в которой работает второй автор, город, страна</w:t>
      </w:r>
    </w:p>
    <w:p w:rsidR="00ED5672" w:rsidRPr="006476EA" w:rsidRDefault="00ED5672" w:rsidP="00810B64">
      <w:pPr>
        <w:spacing w:before="120" w:after="60" w:line="264" w:lineRule="auto"/>
        <w:jc w:val="both"/>
        <w:rPr>
          <w:sz w:val="20"/>
          <w:szCs w:val="20"/>
        </w:rPr>
      </w:pPr>
      <w:r w:rsidRPr="00F80A3F">
        <w:rPr>
          <w:i/>
          <w:sz w:val="20"/>
          <w:szCs w:val="20"/>
        </w:rPr>
        <w:t>Ключевые слова</w:t>
      </w:r>
      <w:r w:rsidRPr="006476EA">
        <w:rPr>
          <w:i/>
          <w:sz w:val="20"/>
          <w:szCs w:val="20"/>
        </w:rPr>
        <w:t xml:space="preserve"> –</w:t>
      </w:r>
      <w:r w:rsidRPr="006476EA">
        <w:rPr>
          <w:sz w:val="20"/>
          <w:szCs w:val="20"/>
        </w:rPr>
        <w:t xml:space="preserve"> образец, оформление, статья</w:t>
      </w:r>
    </w:p>
    <w:p w:rsidR="00ED5672" w:rsidRPr="00066524" w:rsidRDefault="00ED5672" w:rsidP="00810B64">
      <w:pPr>
        <w:spacing w:before="120" w:after="120" w:line="264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I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Введение</w:t>
      </w:r>
    </w:p>
    <w:p w:rsidR="00ED5672" w:rsidRPr="00066524" w:rsidRDefault="0025054A" w:rsidP="0025054A">
      <w:pPr>
        <w:spacing w:line="264" w:lineRule="auto"/>
        <w:ind w:firstLine="709"/>
        <w:jc w:val="both"/>
      </w:pPr>
      <w:r>
        <w:t>В</w:t>
      </w:r>
      <w:r w:rsidR="00ED5672" w:rsidRPr="00066524">
        <w:t>ключает актуальность, проблем</w:t>
      </w:r>
      <w:r w:rsidR="000C0CD5">
        <w:t>у</w:t>
      </w:r>
      <w:r w:rsidR="00ED5672" w:rsidRPr="00066524">
        <w:t xml:space="preserve">, </w:t>
      </w:r>
      <w:r w:rsidR="00ED5672">
        <w:t>ц</w:t>
      </w:r>
      <w:r w:rsidR="00ED5672" w:rsidRPr="00066524">
        <w:t>ел</w:t>
      </w:r>
      <w:r w:rsidR="000C0CD5">
        <w:t>ь</w:t>
      </w:r>
      <w:r w:rsidR="00ED5672" w:rsidRPr="00066524">
        <w:t xml:space="preserve"> и задач исследования.</w:t>
      </w:r>
    </w:p>
    <w:p w:rsidR="00ED5672" w:rsidRPr="00066524" w:rsidRDefault="00ED5672" w:rsidP="00810B64">
      <w:pPr>
        <w:spacing w:before="120" w:after="120" w:line="264" w:lineRule="auto"/>
        <w:jc w:val="center"/>
        <w:rPr>
          <w:caps/>
          <w:color w:val="000000"/>
        </w:rPr>
      </w:pPr>
      <w:r w:rsidRPr="00066524">
        <w:rPr>
          <w:caps/>
          <w:color w:val="000000"/>
          <w:lang w:val="en-US"/>
        </w:rPr>
        <w:t>II</w:t>
      </w:r>
      <w:r w:rsidRPr="00066524">
        <w:rPr>
          <w:caps/>
          <w:color w:val="000000"/>
        </w:rPr>
        <w:t>. Теория</w:t>
      </w:r>
    </w:p>
    <w:p w:rsidR="000778E7" w:rsidRPr="00066524" w:rsidRDefault="0025054A" w:rsidP="0025054A">
      <w:pPr>
        <w:spacing w:line="264" w:lineRule="auto"/>
        <w:ind w:firstLine="709"/>
        <w:jc w:val="both"/>
      </w:pPr>
      <w:r>
        <w:t>В</w:t>
      </w:r>
      <w:r w:rsidR="00A95F4B" w:rsidRPr="00066524">
        <w:t>ключает</w:t>
      </w:r>
      <w:r w:rsidR="000778E7">
        <w:t xml:space="preserve"> краткий </w:t>
      </w:r>
      <w:r w:rsidR="007A3435" w:rsidRPr="00066524">
        <w:t>обзор литературы по теме исследования</w:t>
      </w:r>
      <w:r w:rsidR="007A3435">
        <w:t xml:space="preserve">, краткое </w:t>
      </w:r>
      <w:r w:rsidR="000778E7">
        <w:t xml:space="preserve">описание теоретических основ и </w:t>
      </w:r>
      <w:r w:rsidR="00A95F4B" w:rsidRPr="00066524">
        <w:t>методов пров</w:t>
      </w:r>
      <w:r w:rsidR="00934B70">
        <w:t xml:space="preserve">едения </w:t>
      </w:r>
      <w:r w:rsidR="000778E7">
        <w:t xml:space="preserve">исследования, </w:t>
      </w:r>
      <w:r w:rsidR="00A95F4B" w:rsidRPr="00066524">
        <w:t>материал</w:t>
      </w:r>
      <w:r w:rsidR="000778E7">
        <w:t>ов</w:t>
      </w:r>
      <w:r w:rsidR="00A95F4B" w:rsidRPr="00066524">
        <w:t>, прибор</w:t>
      </w:r>
      <w:r w:rsidR="000778E7">
        <w:t>ов и</w:t>
      </w:r>
      <w:r w:rsidR="00A95F4B" w:rsidRPr="00066524">
        <w:t xml:space="preserve"> оборудовани</w:t>
      </w:r>
      <w:r w:rsidR="000778E7">
        <w:t>я</w:t>
      </w:r>
      <w:r w:rsidR="00A95F4B" w:rsidRPr="00066524">
        <w:t>.</w:t>
      </w:r>
      <w:r>
        <w:t xml:space="preserve"> </w:t>
      </w:r>
      <w:r w:rsidR="000778E7">
        <w:rPr>
          <w:color w:val="000000"/>
        </w:rPr>
        <w:t>При необходимости в данном разделе мо</w:t>
      </w:r>
      <w:r w:rsidR="000778E7">
        <w:rPr>
          <w:color w:val="000000"/>
        </w:rPr>
        <w:t>гут</w:t>
      </w:r>
      <w:r w:rsidR="000778E7">
        <w:rPr>
          <w:color w:val="000000"/>
        </w:rPr>
        <w:t xml:space="preserve"> </w:t>
      </w:r>
      <w:proofErr w:type="gramStart"/>
      <w:r w:rsidR="000778E7">
        <w:rPr>
          <w:color w:val="000000"/>
        </w:rPr>
        <w:t>приводится</w:t>
      </w:r>
      <w:proofErr w:type="gramEnd"/>
      <w:r w:rsidR="000778E7">
        <w:rPr>
          <w:color w:val="000000"/>
        </w:rPr>
        <w:t xml:space="preserve"> одна–две формулы</w:t>
      </w:r>
      <w:r w:rsidR="000778E7">
        <w:rPr>
          <w:color w:val="000000"/>
        </w:rPr>
        <w:t>, которые</w:t>
      </w:r>
      <w:r w:rsidR="000778E7" w:rsidRPr="00066524">
        <w:t xml:space="preserve"> набираются </w:t>
      </w:r>
      <w:r w:rsidR="000778E7">
        <w:t xml:space="preserve">только </w:t>
      </w:r>
      <w:r w:rsidR="000778E7" w:rsidRPr="00066524">
        <w:t xml:space="preserve">в стандартном редакторе </w:t>
      </w:r>
      <w:r w:rsidR="000778E7" w:rsidRPr="00066524">
        <w:rPr>
          <w:lang w:val="en-US"/>
        </w:rPr>
        <w:t>Math</w:t>
      </w:r>
      <w:r w:rsidR="000778E7" w:rsidRPr="00066524">
        <w:t xml:space="preserve"> </w:t>
      </w:r>
      <w:r w:rsidR="000778E7" w:rsidRPr="00066524">
        <w:rPr>
          <w:lang w:val="en-US"/>
        </w:rPr>
        <w:t>Type</w:t>
      </w:r>
      <w:r w:rsidR="000778E7">
        <w:t xml:space="preserve"> и </w:t>
      </w:r>
      <w:r w:rsidR="000778E7">
        <w:t>должны оформля</w:t>
      </w:r>
      <w:r w:rsidR="000778E7">
        <w:t>т</w:t>
      </w:r>
      <w:r w:rsidR="000778E7">
        <w:t>ь</w:t>
      </w:r>
      <w:r w:rsidR="000778E7">
        <w:t>ся в соответствии с</w:t>
      </w:r>
      <w:r w:rsidR="000778E7">
        <w:t xml:space="preserve"> </w:t>
      </w:r>
      <w:r w:rsidR="000778E7">
        <w:t>примером</w:t>
      </w:r>
      <w:r w:rsidR="000778E7" w:rsidRPr="00066524">
        <w:t>:</w:t>
      </w:r>
    </w:p>
    <w:p w:rsidR="000778E7" w:rsidRPr="00066524" w:rsidRDefault="000778E7" w:rsidP="0025054A">
      <w:pPr>
        <w:spacing w:line="264" w:lineRule="auto"/>
        <w:jc w:val="right"/>
      </w:pPr>
      <w:r w:rsidRPr="00066524">
        <w:rPr>
          <w:position w:val="-32"/>
        </w:rPr>
        <w:object w:dxaOrig="171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05pt;height:38.35pt" o:ole="">
            <v:imagedata r:id="rId8" o:title=""/>
          </v:shape>
          <o:OLEObject Type="Embed" ProgID="Equation.DSMT4" ShapeID="_x0000_i1025" DrawAspect="Content" ObjectID="_1613328378" r:id="rId9"/>
        </w:object>
      </w:r>
      <w:r w:rsidRPr="00066524">
        <w:t>,</w:t>
      </w:r>
      <w:r w:rsidRPr="00066524">
        <w:tab/>
      </w:r>
      <w:r w:rsidRPr="00066524">
        <w:tab/>
      </w:r>
      <w:bookmarkStart w:id="0" w:name="_GoBack"/>
      <w:bookmarkEnd w:id="0"/>
      <w:r w:rsidRPr="00066524">
        <w:tab/>
      </w:r>
      <w:r w:rsidRPr="00066524">
        <w:tab/>
      </w:r>
      <w:r w:rsidRPr="00066524">
        <w:tab/>
        <w:t>(1)</w:t>
      </w:r>
    </w:p>
    <w:p w:rsidR="000778E7" w:rsidRPr="00066524" w:rsidRDefault="000778E7" w:rsidP="0025054A">
      <w:pPr>
        <w:spacing w:line="264" w:lineRule="auto"/>
        <w:jc w:val="both"/>
        <w:rPr>
          <w:color w:val="000000"/>
        </w:rPr>
      </w:pPr>
      <w:r w:rsidRPr="00066524">
        <w:rPr>
          <w:color w:val="000000"/>
        </w:rPr>
        <w:t>где</w:t>
      </w:r>
      <w:r w:rsidRPr="00066524">
        <w:rPr>
          <w:color w:val="000000"/>
        </w:rPr>
        <w:tab/>
      </w:r>
      <w:r w:rsidR="0025054A">
        <w:rPr>
          <w:color w:val="000000"/>
        </w:rPr>
        <w:t xml:space="preserve"> </w:t>
      </w:r>
      <w:proofErr w:type="spellStart"/>
      <w:r w:rsidRPr="00066524">
        <w:rPr>
          <w:i/>
          <w:color w:val="000000"/>
          <w:lang w:val="en-US"/>
        </w:rPr>
        <w:t>a</w:t>
      </w:r>
      <w:r w:rsidRPr="00066524">
        <w:rPr>
          <w:i/>
          <w:color w:val="000000"/>
          <w:vertAlign w:val="subscript"/>
          <w:lang w:val="en-US"/>
        </w:rPr>
        <w:t>i</w:t>
      </w:r>
      <w:proofErr w:type="spellEnd"/>
      <w:r w:rsidRPr="00066524">
        <w:rPr>
          <w:color w:val="000000"/>
        </w:rPr>
        <w:t xml:space="preserve"> – объёмная доля </w:t>
      </w:r>
      <w:proofErr w:type="spellStart"/>
      <w:r w:rsidRPr="00066524">
        <w:rPr>
          <w:i/>
          <w:color w:val="000000"/>
          <w:lang w:val="en-US"/>
        </w:rPr>
        <w:t>i</w:t>
      </w:r>
      <w:proofErr w:type="spellEnd"/>
      <w:r w:rsidRPr="00066524">
        <w:rPr>
          <w:color w:val="000000"/>
        </w:rPr>
        <w:t>-го компонента смеси, доли;</w:t>
      </w:r>
    </w:p>
    <w:p w:rsidR="000778E7" w:rsidRPr="00066524" w:rsidRDefault="000778E7" w:rsidP="0025054A">
      <w:pPr>
        <w:spacing w:line="264" w:lineRule="auto"/>
        <w:ind w:firstLine="709"/>
        <w:jc w:val="both"/>
        <w:rPr>
          <w:color w:val="000000"/>
        </w:rPr>
      </w:pPr>
      <w:proofErr w:type="spellStart"/>
      <w:r w:rsidRPr="00066524">
        <w:rPr>
          <w:i/>
          <w:color w:val="000000"/>
          <w:lang w:val="en-US"/>
        </w:rPr>
        <w:t>M</w:t>
      </w:r>
      <w:r w:rsidRPr="00066524">
        <w:rPr>
          <w:i/>
          <w:color w:val="000000"/>
          <w:vertAlign w:val="subscript"/>
          <w:lang w:val="en-US"/>
        </w:rPr>
        <w:t>i</w:t>
      </w:r>
      <w:proofErr w:type="spellEnd"/>
      <w:r w:rsidRPr="00066524">
        <w:rPr>
          <w:color w:val="000000"/>
        </w:rPr>
        <w:t xml:space="preserve"> – молярная масса </w:t>
      </w:r>
      <w:proofErr w:type="spellStart"/>
      <w:r w:rsidRPr="00066524">
        <w:rPr>
          <w:i/>
          <w:color w:val="000000"/>
          <w:lang w:val="en-US"/>
        </w:rPr>
        <w:t>i</w:t>
      </w:r>
      <w:proofErr w:type="spellEnd"/>
      <w:r w:rsidRPr="00066524">
        <w:rPr>
          <w:color w:val="000000"/>
        </w:rPr>
        <w:t>-го компонента смеси, кг/моль.</w:t>
      </w:r>
    </w:p>
    <w:p w:rsidR="00ED5672" w:rsidRPr="00066524" w:rsidRDefault="000778E7" w:rsidP="0025054A">
      <w:pPr>
        <w:spacing w:line="264" w:lineRule="auto"/>
        <w:ind w:firstLine="709"/>
        <w:jc w:val="both"/>
      </w:pPr>
      <w:r w:rsidRPr="00066524">
        <w:rPr>
          <w:color w:val="000000"/>
        </w:rPr>
        <w:t xml:space="preserve">Не допускается использовать </w:t>
      </w:r>
      <w:r w:rsidRPr="00066524">
        <w:rPr>
          <w:lang w:val="en-US"/>
        </w:rPr>
        <w:t>Math</w:t>
      </w:r>
      <w:r w:rsidRPr="00066524">
        <w:t xml:space="preserve"> </w:t>
      </w:r>
      <w:r w:rsidRPr="00066524">
        <w:rPr>
          <w:lang w:val="en-US"/>
        </w:rPr>
        <w:t>Type</w:t>
      </w:r>
      <w:r w:rsidRPr="00066524">
        <w:t xml:space="preserve"> или </w:t>
      </w:r>
      <w:r w:rsidRPr="00066524">
        <w:rPr>
          <w:lang w:val="en-US"/>
        </w:rPr>
        <w:t>Word</w:t>
      </w:r>
      <w:r w:rsidRPr="00066524">
        <w:t xml:space="preserve"> </w:t>
      </w:r>
      <w:r w:rsidRPr="00066524">
        <w:rPr>
          <w:lang w:val="en-US"/>
        </w:rPr>
        <w:t>Equation</w:t>
      </w:r>
      <w:r w:rsidRPr="00066524">
        <w:t xml:space="preserve"> в абзацах</w:t>
      </w:r>
      <w:r>
        <w:t xml:space="preserve"> для набора символов физических величин, а также верхних и нижних индексов.</w:t>
      </w:r>
      <w:r>
        <w:t xml:space="preserve"> </w:t>
      </w:r>
      <w:r w:rsidR="00ED5672" w:rsidRPr="00066524">
        <w:rPr>
          <w:color w:val="000000"/>
        </w:rPr>
        <w:t xml:space="preserve">Текст набирается в редакторе </w:t>
      </w:r>
      <w:proofErr w:type="spellStart"/>
      <w:r w:rsidR="00ED5672" w:rsidRPr="00066524">
        <w:rPr>
          <w:color w:val="000000"/>
        </w:rPr>
        <w:t>Microsoft</w:t>
      </w:r>
      <w:proofErr w:type="spellEnd"/>
      <w:r w:rsidR="00ED5672" w:rsidRPr="00066524">
        <w:rPr>
          <w:color w:val="000000"/>
        </w:rPr>
        <w:t xml:space="preserve"> </w:t>
      </w:r>
      <w:proofErr w:type="spellStart"/>
      <w:r w:rsidR="00ED5672" w:rsidRPr="00066524">
        <w:rPr>
          <w:color w:val="000000"/>
        </w:rPr>
        <w:t>Word</w:t>
      </w:r>
      <w:proofErr w:type="spellEnd"/>
      <w:r w:rsidR="00ED5672" w:rsidRPr="00066524">
        <w:t>. Размер бумаги – А</w:t>
      </w:r>
      <w:proofErr w:type="gramStart"/>
      <w:r w:rsidR="00ED5672" w:rsidRPr="00066524">
        <w:t>4</w:t>
      </w:r>
      <w:proofErr w:type="gramEnd"/>
      <w:r w:rsidR="00ED5672" w:rsidRPr="00066524">
        <w:t xml:space="preserve"> (210</w:t>
      </w:r>
      <w:r w:rsidR="00ED5672" w:rsidRPr="00066524">
        <w:sym w:font="Symbol" w:char="F0B4"/>
      </w:r>
      <w:r w:rsidR="00ED5672" w:rsidRPr="00066524">
        <w:t xml:space="preserve">297), правое и нижнее поля – 2,2 см, левое и верхнее поля – 1,8 см. Текст – в одну колонку; шрифт – </w:t>
      </w:r>
      <w:r w:rsidR="00ED5672" w:rsidRPr="00066524">
        <w:rPr>
          <w:lang w:val="en-US"/>
        </w:rPr>
        <w:t>Times</w:t>
      </w:r>
      <w:r w:rsidR="00ED5672" w:rsidRPr="00066524">
        <w:t xml:space="preserve"> </w:t>
      </w:r>
      <w:r w:rsidR="00ED5672" w:rsidRPr="00066524">
        <w:rPr>
          <w:lang w:val="en-US"/>
        </w:rPr>
        <w:t>New</w:t>
      </w:r>
      <w:r w:rsidR="00ED5672" w:rsidRPr="00066524">
        <w:t xml:space="preserve"> </w:t>
      </w:r>
      <w:r w:rsidR="00ED5672" w:rsidRPr="00066524">
        <w:rPr>
          <w:lang w:val="en-US"/>
        </w:rPr>
        <w:t>Roman</w:t>
      </w:r>
      <w:r w:rsidR="00ED5672" w:rsidRPr="00066524">
        <w:t>, высота шрифта – 12 пунктов; абзацный отступ – 1,25 см; междустрочный интервал – множитель со значением 1,1; выравнивание текста – по ширине, заголовков – по центру.</w:t>
      </w:r>
      <w:r w:rsidR="00934B70" w:rsidRPr="00934B70">
        <w:rPr>
          <w:color w:val="000000"/>
        </w:rPr>
        <w:t xml:space="preserve"> </w:t>
      </w:r>
      <w:r>
        <w:t>Все а</w:t>
      </w:r>
      <w:r w:rsidR="00ED5672" w:rsidRPr="00066524">
        <w:t xml:space="preserve">ббревиатуры </w:t>
      </w:r>
      <w:r>
        <w:t>должны иметь расшифровку при первом упоминании.</w:t>
      </w:r>
      <w:r w:rsidR="00ED5672" w:rsidRPr="00066524">
        <w:t xml:space="preserve"> </w:t>
      </w:r>
    </w:p>
    <w:p w:rsidR="00810B64" w:rsidRDefault="000778E7" w:rsidP="0025054A">
      <w:pPr>
        <w:spacing w:line="264" w:lineRule="auto"/>
        <w:ind w:firstLine="709"/>
        <w:jc w:val="both"/>
      </w:pPr>
      <w:r w:rsidRPr="00066524">
        <w:rPr>
          <w:color w:val="000000"/>
        </w:rPr>
        <w:t>Библиографическое описание</w:t>
      </w:r>
      <w:r>
        <w:rPr>
          <w:color w:val="000000"/>
        </w:rPr>
        <w:t xml:space="preserve"> источников</w:t>
      </w:r>
      <w:r w:rsidRPr="00066524">
        <w:rPr>
          <w:color w:val="000000"/>
        </w:rPr>
        <w:t xml:space="preserve"> выполняется шрифтом </w:t>
      </w:r>
      <w:proofErr w:type="spellStart"/>
      <w:r w:rsidRPr="00066524">
        <w:rPr>
          <w:color w:val="000000"/>
        </w:rPr>
        <w:t>Times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New</w:t>
      </w:r>
      <w:proofErr w:type="spellEnd"/>
      <w:r w:rsidRPr="00066524">
        <w:rPr>
          <w:color w:val="000000"/>
        </w:rPr>
        <w:t xml:space="preserve"> </w:t>
      </w:r>
      <w:proofErr w:type="spellStart"/>
      <w:r w:rsidRPr="00066524">
        <w:rPr>
          <w:color w:val="000000"/>
        </w:rPr>
        <w:t>Roman</w:t>
      </w:r>
      <w:proofErr w:type="spellEnd"/>
      <w:r w:rsidRPr="00066524">
        <w:rPr>
          <w:color w:val="000000"/>
        </w:rPr>
        <w:t xml:space="preserve"> 10</w:t>
      </w:r>
      <w:r>
        <w:rPr>
          <w:color w:val="000000"/>
        </w:rPr>
        <w:t xml:space="preserve"> и размещается в разделе </w:t>
      </w:r>
      <w:r w:rsidRPr="00066524">
        <w:rPr>
          <w:color w:val="000000"/>
        </w:rPr>
        <w:t>«СПИСОК ИСТОЧНИКОВ», без абзацного отступа</w:t>
      </w:r>
      <w:proofErr w:type="gramStart"/>
      <w:r w:rsidRPr="00066524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="00934B70" w:rsidRPr="00066524">
        <w:rPr>
          <w:color w:val="000000"/>
        </w:rPr>
        <w:t>Нумерация источников производится в порядке цитирования и указывается в квадратных скобках</w:t>
      </w:r>
      <w:r>
        <w:rPr>
          <w:color w:val="000000"/>
        </w:rPr>
        <w:t>.</w:t>
      </w:r>
      <w:r w:rsidR="00934B70" w:rsidRPr="00066524">
        <w:rPr>
          <w:color w:val="000000"/>
        </w:rPr>
        <w:t xml:space="preserve"> </w:t>
      </w:r>
      <w:r>
        <w:rPr>
          <w:color w:val="000000"/>
        </w:rPr>
        <w:t>Н</w:t>
      </w:r>
      <w:r w:rsidR="00CC6C30">
        <w:rPr>
          <w:color w:val="000000"/>
        </w:rPr>
        <w:t>иже</w:t>
      </w:r>
      <w:r w:rsidR="00CC6C30">
        <w:rPr>
          <w:color w:val="000000"/>
        </w:rPr>
        <w:t xml:space="preserve"> </w:t>
      </w:r>
      <w:r>
        <w:rPr>
          <w:color w:val="000000"/>
        </w:rPr>
        <w:t xml:space="preserve">приводится </w:t>
      </w:r>
      <w:r w:rsidR="00AC077B">
        <w:rPr>
          <w:color w:val="000000"/>
        </w:rPr>
        <w:t xml:space="preserve">пример </w:t>
      </w:r>
      <w:r w:rsidR="00CC6C30">
        <w:rPr>
          <w:color w:val="000000"/>
        </w:rPr>
        <w:t xml:space="preserve">описание </w:t>
      </w:r>
      <w:r w:rsidR="00AC077B" w:rsidRPr="00066524">
        <w:rPr>
          <w:color w:val="000000"/>
        </w:rPr>
        <w:t>монографи</w:t>
      </w:r>
      <w:r>
        <w:rPr>
          <w:color w:val="000000"/>
        </w:rPr>
        <w:t>и</w:t>
      </w:r>
      <w:r w:rsidR="00AC077B" w:rsidRPr="00066524">
        <w:rPr>
          <w:color w:val="000000"/>
        </w:rPr>
        <w:t xml:space="preserve"> с одним–тремя авторами</w:t>
      </w:r>
      <w:r w:rsidR="00AC077B">
        <w:rPr>
          <w:color w:val="000000"/>
        </w:rPr>
        <w:t xml:space="preserve"> </w:t>
      </w:r>
      <w:r w:rsidR="00AC077B" w:rsidRPr="00934B70">
        <w:rPr>
          <w:color w:val="000000"/>
        </w:rPr>
        <w:t>[1]</w:t>
      </w:r>
      <w:r w:rsidR="00AC077B" w:rsidRPr="00066524">
        <w:rPr>
          <w:color w:val="000000"/>
        </w:rPr>
        <w:t>;</w:t>
      </w:r>
      <w:r w:rsidR="00AC077B">
        <w:rPr>
          <w:color w:val="000000"/>
        </w:rPr>
        <w:t xml:space="preserve"> </w:t>
      </w:r>
      <w:r w:rsidR="00AC077B" w:rsidRPr="00066524">
        <w:rPr>
          <w:color w:val="000000"/>
        </w:rPr>
        <w:t>монографии с количеством авторов более трёх</w:t>
      </w:r>
      <w:r w:rsidR="00AC077B" w:rsidRPr="00934B70">
        <w:rPr>
          <w:color w:val="000000"/>
        </w:rPr>
        <w:t xml:space="preserve"> [2]</w:t>
      </w:r>
      <w:r w:rsidR="00AC077B" w:rsidRPr="00066524">
        <w:rPr>
          <w:color w:val="000000"/>
        </w:rPr>
        <w:t>;</w:t>
      </w:r>
      <w:r w:rsidR="00AC077B">
        <w:rPr>
          <w:color w:val="000000"/>
        </w:rPr>
        <w:t xml:space="preserve"> </w:t>
      </w:r>
      <w:r w:rsidR="00AC077B" w:rsidRPr="00066524">
        <w:rPr>
          <w:color w:val="000000"/>
        </w:rPr>
        <w:t>справочник</w:t>
      </w:r>
      <w:r>
        <w:rPr>
          <w:color w:val="000000"/>
        </w:rPr>
        <w:t>а</w:t>
      </w:r>
      <w:r w:rsidR="00AC077B" w:rsidRPr="00CC6C30">
        <w:rPr>
          <w:color w:val="000000"/>
        </w:rPr>
        <w:t xml:space="preserve"> [3]</w:t>
      </w:r>
      <w:r w:rsidR="00AC077B" w:rsidRPr="00066524">
        <w:rPr>
          <w:color w:val="000000"/>
        </w:rPr>
        <w:t>;</w:t>
      </w:r>
      <w:r w:rsidR="00AC077B">
        <w:rPr>
          <w:color w:val="000000"/>
        </w:rPr>
        <w:t xml:space="preserve"> </w:t>
      </w:r>
      <w:r w:rsidR="00AC077B" w:rsidRPr="00066524">
        <w:rPr>
          <w:color w:val="000000"/>
        </w:rPr>
        <w:t>статьи одного–трёх авторов в журнале (в сборнике трудов)</w:t>
      </w:r>
      <w:r w:rsidR="00AC077B" w:rsidRPr="00934B70">
        <w:rPr>
          <w:color w:val="000000"/>
        </w:rPr>
        <w:t xml:space="preserve"> [4]</w:t>
      </w:r>
      <w:r w:rsidR="00AC077B" w:rsidRPr="00066524">
        <w:rPr>
          <w:color w:val="000000"/>
        </w:rPr>
        <w:t>;</w:t>
      </w:r>
      <w:r w:rsidR="00AC077B">
        <w:rPr>
          <w:color w:val="000000"/>
        </w:rPr>
        <w:t xml:space="preserve"> </w:t>
      </w:r>
      <w:r w:rsidR="00AC077B" w:rsidRPr="00066524">
        <w:rPr>
          <w:color w:val="000000"/>
        </w:rPr>
        <w:t>статьи более трёх</w:t>
      </w:r>
      <w:r w:rsidR="00AC077B" w:rsidRPr="00934B70">
        <w:rPr>
          <w:color w:val="000000"/>
        </w:rPr>
        <w:t xml:space="preserve"> </w:t>
      </w:r>
      <w:r w:rsidR="00AC077B">
        <w:rPr>
          <w:color w:val="000000"/>
        </w:rPr>
        <w:t>авторов</w:t>
      </w:r>
      <w:r w:rsidR="00AC077B" w:rsidRPr="00066524">
        <w:rPr>
          <w:color w:val="000000"/>
        </w:rPr>
        <w:t xml:space="preserve"> в журнале (в сборнике научных трудов)</w:t>
      </w:r>
      <w:r w:rsidR="00AC077B" w:rsidRPr="00934B70">
        <w:rPr>
          <w:color w:val="000000"/>
        </w:rPr>
        <w:t xml:space="preserve"> [5]</w:t>
      </w:r>
      <w:r w:rsidR="00AC077B" w:rsidRPr="00066524">
        <w:rPr>
          <w:color w:val="000000"/>
        </w:rPr>
        <w:t>;</w:t>
      </w:r>
      <w:r w:rsidR="00AC077B">
        <w:rPr>
          <w:color w:val="000000"/>
        </w:rPr>
        <w:t xml:space="preserve"> </w:t>
      </w:r>
      <w:r w:rsidR="00AC077B" w:rsidRPr="00066524">
        <w:rPr>
          <w:color w:val="000000"/>
        </w:rPr>
        <w:t>электронный ресурс</w:t>
      </w:r>
      <w:r w:rsidR="00AC077B" w:rsidRPr="00CC6C30">
        <w:rPr>
          <w:color w:val="000000"/>
        </w:rPr>
        <w:t xml:space="preserve"> [6]</w:t>
      </w:r>
      <w:r>
        <w:rPr>
          <w:color w:val="000000"/>
        </w:rPr>
        <w:t>.</w:t>
      </w:r>
      <w:r w:rsidR="00934B70" w:rsidRPr="006476EA">
        <w:t xml:space="preserve"> Исключается использование в докладе ссыл</w:t>
      </w:r>
      <w:r w:rsidR="00934B70">
        <w:t>ок</w:t>
      </w:r>
      <w:r w:rsidR="00934B70" w:rsidRPr="006476EA">
        <w:t xml:space="preserve"> на учебники и учебно-методические пособия,</w:t>
      </w:r>
      <w:r w:rsidR="00934B70">
        <w:t xml:space="preserve"> а также</w:t>
      </w:r>
      <w:r w:rsidR="00934B70" w:rsidRPr="006476EA">
        <w:t xml:space="preserve"> рукописи (авторефераты и дисс</w:t>
      </w:r>
      <w:r w:rsidR="00934B70">
        <w:t>ертации).</w:t>
      </w:r>
    </w:p>
    <w:p w:rsidR="00934B70" w:rsidRPr="00066524" w:rsidRDefault="00810B64" w:rsidP="0025054A">
      <w:pPr>
        <w:spacing w:line="264" w:lineRule="auto"/>
        <w:ind w:firstLine="709"/>
        <w:jc w:val="both"/>
        <w:rPr>
          <w:color w:val="000000"/>
        </w:rPr>
      </w:pPr>
      <w:r>
        <w:t>Прямая речь (цитирование) должна быть оформлена с использованием кавычек</w:t>
      </w:r>
      <w:r>
        <w:t>.</w:t>
      </w:r>
    </w:p>
    <w:p w:rsidR="00ED5672" w:rsidRPr="00066524" w:rsidRDefault="00ED5672" w:rsidP="00810B64">
      <w:pPr>
        <w:spacing w:before="120" w:after="120" w:line="264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III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Результаты</w:t>
      </w:r>
    </w:p>
    <w:p w:rsidR="000C0CD5" w:rsidRDefault="0025054A" w:rsidP="0025054A">
      <w:pPr>
        <w:spacing w:line="264" w:lineRule="auto"/>
        <w:ind w:firstLine="709"/>
        <w:jc w:val="both"/>
      </w:pPr>
      <w:r>
        <w:t>Включает</w:t>
      </w:r>
      <w:r w:rsidR="00A95F4B" w:rsidRPr="00066524">
        <w:t xml:space="preserve"> </w:t>
      </w:r>
      <w:r w:rsidR="00934B70">
        <w:t xml:space="preserve">описание </w:t>
      </w:r>
      <w:r w:rsidR="00A95F4B" w:rsidRPr="00066524">
        <w:t>факти</w:t>
      </w:r>
      <w:r w:rsidR="00934B70">
        <w:t>ческих результатов исследования.</w:t>
      </w:r>
      <w:r>
        <w:t xml:space="preserve"> Допускается включать в данный раздел</w:t>
      </w:r>
      <w:r w:rsidR="00CC6C30">
        <w:t>: рисунки (диаграммы, графики, фотографии) в количестве не более двух</w:t>
      </w:r>
      <w:r>
        <w:t xml:space="preserve"> и </w:t>
      </w:r>
      <w:r w:rsidR="00CC6C30">
        <w:t>таблицы в количестве не более одной.</w:t>
      </w:r>
    </w:p>
    <w:p w:rsidR="000C0CD5" w:rsidRPr="00066524" w:rsidRDefault="00ED5672" w:rsidP="000C0CD5">
      <w:pPr>
        <w:spacing w:line="264" w:lineRule="auto"/>
        <w:ind w:firstLine="709"/>
        <w:jc w:val="both"/>
        <w:rPr>
          <w:color w:val="000000"/>
        </w:rPr>
      </w:pPr>
      <w:r w:rsidRPr="00066524">
        <w:t xml:space="preserve">Рисунки должны иметь обтекание текстов «в тексте», </w:t>
      </w:r>
      <w:r w:rsidR="0025054A">
        <w:t>пример оформления рисунка и подрисуночной надписи представлен на рис. 1.</w:t>
      </w:r>
      <w:r w:rsidRPr="00066524">
        <w:rPr>
          <w:color w:val="000000"/>
        </w:rPr>
        <w:t xml:space="preserve"> </w:t>
      </w:r>
      <w:r w:rsidR="0025054A">
        <w:rPr>
          <w:color w:val="000000"/>
        </w:rPr>
        <w:t>Таблица набирается текстом (см. таблицу).</w:t>
      </w:r>
      <w:r w:rsidR="000C0CD5">
        <w:rPr>
          <w:color w:val="000000"/>
        </w:rPr>
        <w:t xml:space="preserve"> </w:t>
      </w:r>
      <w:r w:rsidR="000C0CD5">
        <w:rPr>
          <w:color w:val="000000"/>
        </w:rPr>
        <w:t>На рисунки и таблицы по тексту должны быть ссылки.</w:t>
      </w:r>
    </w:p>
    <w:p w:rsidR="00ED5672" w:rsidRPr="00066524" w:rsidRDefault="00ED5672" w:rsidP="0025054A">
      <w:pPr>
        <w:spacing w:line="264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F82EFF9" wp14:editId="3D3D017E">
            <wp:extent cx="4738255" cy="1543792"/>
            <wp:effectExtent l="0" t="0" r="571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5672" w:rsidRPr="00066524" w:rsidRDefault="00ED5672" w:rsidP="0025054A">
      <w:pPr>
        <w:spacing w:after="240" w:line="264" w:lineRule="auto"/>
        <w:jc w:val="center"/>
        <w:rPr>
          <w:i/>
          <w:color w:val="000000"/>
        </w:rPr>
      </w:pPr>
      <w:r w:rsidRPr="00066524">
        <w:rPr>
          <w:noProof/>
        </w:rPr>
        <w:t>Рис. 1. Название рисунка</w:t>
      </w:r>
      <w:r w:rsidR="0025054A">
        <w:rPr>
          <w:noProof/>
        </w:rPr>
        <w:t>: расшифровка позиций рисунка</w:t>
      </w:r>
    </w:p>
    <w:p w:rsidR="00ED5672" w:rsidRPr="00066524" w:rsidRDefault="00CC6C30" w:rsidP="0025054A">
      <w:pPr>
        <w:spacing w:before="240" w:line="264" w:lineRule="auto"/>
        <w:jc w:val="center"/>
        <w:rPr>
          <w:caps/>
          <w:color w:val="000000"/>
        </w:rPr>
      </w:pPr>
      <w:r>
        <w:rPr>
          <w:color w:val="000000"/>
        </w:rPr>
        <w:t>Таблица</w:t>
      </w:r>
      <w:r w:rsidR="00ED5672" w:rsidRPr="00066524">
        <w:rPr>
          <w:color w:val="000000"/>
          <w:lang w:val="en-US"/>
        </w:rPr>
        <w:t xml:space="preserve">. </w:t>
      </w:r>
      <w:r w:rsidR="00ED5672" w:rsidRPr="00066524">
        <w:rPr>
          <w:color w:val="000000"/>
        </w:rPr>
        <w:t>Название таблицы</w:t>
      </w:r>
    </w:p>
    <w:tbl>
      <w:tblPr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1257"/>
        <w:gridCol w:w="1055"/>
      </w:tblGrid>
      <w:tr w:rsidR="00ED5672" w:rsidRPr="00066524" w:rsidTr="00B4121A">
        <w:trPr>
          <w:trHeight w:val="217"/>
          <w:jc w:val="center"/>
        </w:trPr>
        <w:tc>
          <w:tcPr>
            <w:tcW w:w="2359" w:type="dxa"/>
            <w:vAlign w:val="center"/>
          </w:tcPr>
          <w:p w:rsidR="00ED5672" w:rsidRPr="00066524" w:rsidRDefault="00ED5672" w:rsidP="0025054A">
            <w:pPr>
              <w:spacing w:line="264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Подача насоса, м</w:t>
            </w:r>
            <w:r w:rsidRPr="00066524">
              <w:rPr>
                <w:color w:val="000000"/>
                <w:vertAlign w:val="superscript"/>
              </w:rPr>
              <w:t>3</w:t>
            </w:r>
            <w:r w:rsidRPr="00066524">
              <w:rPr>
                <w:color w:val="000000"/>
              </w:rPr>
              <w:t>/ч</w:t>
            </w:r>
          </w:p>
        </w:tc>
        <w:tc>
          <w:tcPr>
            <w:tcW w:w="1257" w:type="dxa"/>
            <w:vAlign w:val="center"/>
          </w:tcPr>
          <w:p w:rsidR="00ED5672" w:rsidRPr="00066524" w:rsidRDefault="00ED5672" w:rsidP="0025054A">
            <w:pPr>
              <w:spacing w:line="264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 xml:space="preserve">Напор, </w:t>
            </w:r>
            <w:proofErr w:type="gramStart"/>
            <w:r w:rsidRPr="00066524">
              <w:rPr>
                <w:color w:val="000000"/>
              </w:rPr>
              <w:t>м</w:t>
            </w:r>
            <w:proofErr w:type="gramEnd"/>
          </w:p>
        </w:tc>
        <w:tc>
          <w:tcPr>
            <w:tcW w:w="1055" w:type="dxa"/>
            <w:vAlign w:val="center"/>
          </w:tcPr>
          <w:p w:rsidR="00ED5672" w:rsidRPr="00066524" w:rsidRDefault="00ED5672" w:rsidP="0025054A">
            <w:pPr>
              <w:spacing w:line="264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КПД, %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25054A">
            <w:pPr>
              <w:spacing w:line="264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0</w:t>
            </w:r>
          </w:p>
        </w:tc>
        <w:tc>
          <w:tcPr>
            <w:tcW w:w="1257" w:type="dxa"/>
          </w:tcPr>
          <w:p w:rsidR="00ED5672" w:rsidRPr="00066524" w:rsidRDefault="00ED5672" w:rsidP="0025054A">
            <w:pPr>
              <w:spacing w:line="264" w:lineRule="auto"/>
              <w:jc w:val="center"/>
              <w:rPr>
                <w:color w:val="000000"/>
              </w:rPr>
            </w:pPr>
            <w:r w:rsidRPr="00066524">
              <w:rPr>
                <w:color w:val="000000"/>
              </w:rPr>
              <w:t>300</w:t>
            </w:r>
          </w:p>
        </w:tc>
        <w:tc>
          <w:tcPr>
            <w:tcW w:w="1055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0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500</w:t>
            </w:r>
          </w:p>
        </w:tc>
        <w:tc>
          <w:tcPr>
            <w:tcW w:w="1257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290</w:t>
            </w:r>
          </w:p>
        </w:tc>
        <w:tc>
          <w:tcPr>
            <w:tcW w:w="1055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30</w:t>
            </w:r>
          </w:p>
        </w:tc>
      </w:tr>
      <w:tr w:rsidR="00ED5672" w:rsidRPr="00066524" w:rsidTr="00B4121A">
        <w:trPr>
          <w:jc w:val="center"/>
        </w:trPr>
        <w:tc>
          <w:tcPr>
            <w:tcW w:w="2359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1000</w:t>
            </w:r>
          </w:p>
        </w:tc>
        <w:tc>
          <w:tcPr>
            <w:tcW w:w="1257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275</w:t>
            </w:r>
          </w:p>
        </w:tc>
        <w:tc>
          <w:tcPr>
            <w:tcW w:w="1055" w:type="dxa"/>
          </w:tcPr>
          <w:p w:rsidR="00ED5672" w:rsidRPr="00066524" w:rsidRDefault="00ED5672" w:rsidP="0025054A">
            <w:pPr>
              <w:spacing w:line="264" w:lineRule="auto"/>
              <w:jc w:val="center"/>
            </w:pPr>
            <w:r w:rsidRPr="00066524">
              <w:t>75</w:t>
            </w:r>
          </w:p>
        </w:tc>
      </w:tr>
    </w:tbl>
    <w:p w:rsidR="00ED5672" w:rsidRPr="00066524" w:rsidRDefault="00ED5672" w:rsidP="00810B64">
      <w:pPr>
        <w:spacing w:before="120" w:after="120" w:line="264" w:lineRule="auto"/>
        <w:jc w:val="center"/>
        <w:rPr>
          <w:caps/>
          <w:color w:val="000000"/>
        </w:rPr>
      </w:pPr>
      <w:r w:rsidRPr="00066524">
        <w:rPr>
          <w:smallCaps/>
          <w:color w:val="000000"/>
          <w:lang w:val="en-US"/>
        </w:rPr>
        <w:t>IV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Обсуждение</w:t>
      </w:r>
    </w:p>
    <w:p w:rsidR="00A95F4B" w:rsidRPr="00066524" w:rsidRDefault="00A95F4B" w:rsidP="0025054A">
      <w:pPr>
        <w:spacing w:line="264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IV</w:t>
      </w:r>
      <w:r w:rsidRPr="00066524">
        <w:rPr>
          <w:caps/>
        </w:rPr>
        <w:t>. Обсуждение</w:t>
      </w:r>
      <w:r w:rsidRPr="00066524">
        <w:t>» содержит интерпретацию полученных результатов исследования, включая: соответствие полученных результатов гипотезе исследования; ограничения исследования и обобщение его результатов; предложения по практическому применению; предложения по направлению будущих исследований. Не допускается публикация ранее известных результатов без ссылки на источник цитирования.</w:t>
      </w:r>
    </w:p>
    <w:p w:rsidR="00ED5672" w:rsidRPr="00066524" w:rsidRDefault="00ED5672" w:rsidP="00810B64">
      <w:pPr>
        <w:spacing w:before="120" w:after="120" w:line="264" w:lineRule="auto"/>
        <w:jc w:val="center"/>
        <w:rPr>
          <w:smallCaps/>
          <w:color w:val="000000"/>
        </w:rPr>
      </w:pPr>
      <w:r w:rsidRPr="00066524">
        <w:rPr>
          <w:smallCaps/>
          <w:color w:val="000000"/>
          <w:lang w:val="en-US"/>
        </w:rPr>
        <w:t>V</w:t>
      </w:r>
      <w:r w:rsidRPr="00066524">
        <w:rPr>
          <w:smallCaps/>
          <w:color w:val="000000"/>
        </w:rPr>
        <w:t xml:space="preserve">. </w:t>
      </w:r>
      <w:r w:rsidRPr="00066524">
        <w:rPr>
          <w:caps/>
          <w:color w:val="000000"/>
        </w:rPr>
        <w:t>Заключение</w:t>
      </w:r>
    </w:p>
    <w:p w:rsidR="0025054A" w:rsidRDefault="00A95F4B" w:rsidP="0025054A">
      <w:pPr>
        <w:spacing w:line="264" w:lineRule="auto"/>
        <w:ind w:firstLine="709"/>
        <w:jc w:val="both"/>
      </w:pPr>
      <w:r w:rsidRPr="00066524">
        <w:t>Раздел «</w:t>
      </w:r>
      <w:r w:rsidRPr="00066524">
        <w:rPr>
          <w:caps/>
          <w:lang w:val="en-US"/>
        </w:rPr>
        <w:t>V</w:t>
      </w:r>
      <w:r w:rsidRPr="00066524">
        <w:rPr>
          <w:caps/>
        </w:rPr>
        <w:t>. Заключение</w:t>
      </w:r>
      <w:r w:rsidRPr="00066524">
        <w:t>» содержит краткие итоги разделов статьи без повторения формулировок, приведённых в них.</w:t>
      </w:r>
    </w:p>
    <w:p w:rsidR="00ED5672" w:rsidRPr="00496965" w:rsidRDefault="00496965" w:rsidP="0025054A">
      <w:pPr>
        <w:spacing w:line="264" w:lineRule="auto"/>
        <w:ind w:firstLine="709"/>
        <w:jc w:val="both"/>
      </w:pPr>
      <w:r>
        <w:t>П</w:t>
      </w:r>
      <w:r w:rsidR="00ED5672" w:rsidRPr="00066524">
        <w:t>осле текста доклада, при необходимости, размещается раздел «БЛАГОДАРНОСТИ»</w:t>
      </w:r>
      <w:r w:rsidR="00ED5672">
        <w:t>, включающий информацию о научном руководителе, благодарность за финансовую поддержку исследования</w:t>
      </w:r>
      <w:r>
        <w:t xml:space="preserve">, и </w:t>
      </w:r>
      <w:r w:rsidR="00ED5672" w:rsidRPr="006476EA">
        <w:rPr>
          <w:iCs/>
          <w:spacing w:val="-1"/>
        </w:rPr>
        <w:t xml:space="preserve">раздел </w:t>
      </w:r>
      <w:r w:rsidR="00ED5672" w:rsidRPr="00066524">
        <w:t>«СПИСОК ИСТОЧНИКОВ»</w:t>
      </w:r>
      <w:r w:rsidR="00AC077B">
        <w:t>.</w:t>
      </w:r>
    </w:p>
    <w:p w:rsidR="00ED5672" w:rsidRPr="00066524" w:rsidRDefault="00ED5672" w:rsidP="00810B64">
      <w:pPr>
        <w:spacing w:before="120" w:after="120" w:line="264" w:lineRule="auto"/>
        <w:jc w:val="center"/>
        <w:rPr>
          <w:caps/>
          <w:color w:val="000000"/>
        </w:rPr>
      </w:pPr>
      <w:r w:rsidRPr="00066524">
        <w:rPr>
          <w:caps/>
          <w:color w:val="000000"/>
        </w:rPr>
        <w:t>Благодарности</w:t>
      </w:r>
    </w:p>
    <w:p w:rsidR="00ED5672" w:rsidRPr="00810B64" w:rsidRDefault="00ED5672" w:rsidP="0025054A">
      <w:pPr>
        <w:spacing w:line="264" w:lineRule="auto"/>
        <w:ind w:firstLine="709"/>
        <w:jc w:val="both"/>
        <w:rPr>
          <w:color w:val="000000"/>
        </w:rPr>
      </w:pPr>
      <w:r w:rsidRPr="00810B64">
        <w:rPr>
          <w:color w:val="000000"/>
        </w:rPr>
        <w:t>Научный руководитель…</w:t>
      </w:r>
    </w:p>
    <w:p w:rsidR="00ED5672" w:rsidRPr="00810B64" w:rsidRDefault="00810B64" w:rsidP="0025054A">
      <w:pPr>
        <w:spacing w:line="264" w:lineRule="auto"/>
        <w:ind w:firstLine="709"/>
        <w:jc w:val="both"/>
        <w:rPr>
          <w:color w:val="000000"/>
        </w:rPr>
      </w:pPr>
      <w:r w:rsidRPr="00810B64">
        <w:t>Р</w:t>
      </w:r>
      <w:r w:rsidRPr="00810B64">
        <w:rPr>
          <w:color w:val="000000"/>
        </w:rPr>
        <w:t xml:space="preserve">абота выполнена при финансовой поддержке </w:t>
      </w:r>
      <w:r w:rsidR="00ED5672" w:rsidRPr="00810B64">
        <w:rPr>
          <w:color w:val="000000"/>
        </w:rPr>
        <w:t>…</w:t>
      </w:r>
    </w:p>
    <w:p w:rsidR="00ED5672" w:rsidRPr="00066524" w:rsidRDefault="00ED5672" w:rsidP="00810B64">
      <w:pPr>
        <w:spacing w:before="120" w:after="120" w:line="264" w:lineRule="auto"/>
        <w:jc w:val="center"/>
        <w:rPr>
          <w:caps/>
          <w:color w:val="000000"/>
        </w:rPr>
      </w:pPr>
      <w:r w:rsidRPr="00066524">
        <w:rPr>
          <w:caps/>
          <w:color w:val="000000"/>
        </w:rPr>
        <w:t>Список ИСТОЧНИКОВ</w:t>
      </w:r>
    </w:p>
    <w:p w:rsidR="00ED5672" w:rsidRPr="00035D13" w:rsidRDefault="00ED5672" w:rsidP="0025054A">
      <w:pPr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>Коршак А.А. Современные средства сокращения потерь бензинов от испарения: монография / А.А. Коршак.</w:t>
      </w:r>
      <w:r w:rsidRPr="00686D3E"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 w:rsidRPr="00686D3E"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Уфа: ООО «</w:t>
      </w:r>
      <w:proofErr w:type="spellStart"/>
      <w:r w:rsidRPr="00035D13">
        <w:rPr>
          <w:sz w:val="20"/>
          <w:szCs w:val="20"/>
        </w:rPr>
        <w:t>ДизайнПолиграфСервис</w:t>
      </w:r>
      <w:proofErr w:type="spellEnd"/>
      <w:r w:rsidRPr="00035D13">
        <w:rPr>
          <w:sz w:val="20"/>
          <w:szCs w:val="20"/>
        </w:rPr>
        <w:t>», 2001.–144 с.</w:t>
      </w:r>
    </w:p>
    <w:p w:rsidR="00ED5672" w:rsidRPr="00035D13" w:rsidRDefault="00ED5672" w:rsidP="0025054A">
      <w:pPr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Переработка и утилизация </w:t>
      </w:r>
      <w:proofErr w:type="spellStart"/>
      <w:r w:rsidRPr="00035D13">
        <w:rPr>
          <w:sz w:val="20"/>
          <w:szCs w:val="20"/>
        </w:rPr>
        <w:t>нефтешламов</w:t>
      </w:r>
      <w:proofErr w:type="spellEnd"/>
      <w:r w:rsidRPr="00035D13">
        <w:rPr>
          <w:sz w:val="20"/>
          <w:szCs w:val="20"/>
        </w:rPr>
        <w:t xml:space="preserve"> и </w:t>
      </w:r>
      <w:proofErr w:type="spellStart"/>
      <w:r w:rsidRPr="00035D13">
        <w:rPr>
          <w:sz w:val="20"/>
          <w:szCs w:val="20"/>
        </w:rPr>
        <w:t>нефтезагрезнённых</w:t>
      </w:r>
      <w:proofErr w:type="spellEnd"/>
      <w:r w:rsidRPr="00035D13">
        <w:rPr>
          <w:sz w:val="20"/>
          <w:szCs w:val="20"/>
        </w:rPr>
        <w:t xml:space="preserve"> материалов, образующихся в местах </w:t>
      </w:r>
      <w:r w:rsidRPr="009C0FDE">
        <w:rPr>
          <w:sz w:val="20"/>
          <w:szCs w:val="20"/>
        </w:rPr>
        <w:t xml:space="preserve">добычи, транспортировки и переработки углеводородного сырья: монография / [Л.О. </w:t>
      </w:r>
      <w:proofErr w:type="spellStart"/>
      <w:r w:rsidRPr="009C0FDE">
        <w:rPr>
          <w:sz w:val="20"/>
          <w:szCs w:val="20"/>
        </w:rPr>
        <w:t>Штриплинг</w:t>
      </w:r>
      <w:proofErr w:type="spellEnd"/>
      <w:r w:rsidRPr="009C0FDE">
        <w:rPr>
          <w:sz w:val="20"/>
          <w:szCs w:val="20"/>
        </w:rPr>
        <w:t xml:space="preserve"> и др.]; </w:t>
      </w:r>
      <w:proofErr w:type="spellStart"/>
      <w:r w:rsidRPr="009C0FDE">
        <w:rPr>
          <w:color w:val="000000"/>
          <w:sz w:val="20"/>
          <w:szCs w:val="20"/>
          <w:shd w:val="clear" w:color="auto" w:fill="FFFFFF"/>
        </w:rPr>
        <w:t>Минобрнауки</w:t>
      </w:r>
      <w:proofErr w:type="spellEnd"/>
      <w:r w:rsidRPr="009C0FDE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C0FDE">
        <w:rPr>
          <w:color w:val="000000"/>
          <w:sz w:val="20"/>
          <w:szCs w:val="20"/>
          <w:shd w:val="clear" w:color="auto" w:fill="FFFFFF"/>
        </w:rPr>
        <w:t>Росссии</w:t>
      </w:r>
      <w:proofErr w:type="spellEnd"/>
      <w:r w:rsidRPr="009C0FDE">
        <w:rPr>
          <w:sz w:val="20"/>
          <w:szCs w:val="20"/>
        </w:rPr>
        <w:t>, Омский</w:t>
      </w:r>
      <w:r w:rsidRPr="00035D13">
        <w:rPr>
          <w:sz w:val="20"/>
          <w:szCs w:val="20"/>
        </w:rPr>
        <w:t xml:space="preserve"> гос.</w:t>
      </w:r>
      <w:r>
        <w:rPr>
          <w:sz w:val="20"/>
          <w:szCs w:val="20"/>
        </w:rPr>
        <w:t xml:space="preserve"> </w:t>
      </w:r>
      <w:proofErr w:type="spellStart"/>
      <w:r w:rsidRPr="00035D13">
        <w:rPr>
          <w:sz w:val="20"/>
          <w:szCs w:val="20"/>
        </w:rPr>
        <w:t>техн</w:t>
      </w:r>
      <w:proofErr w:type="spellEnd"/>
      <w:r w:rsidRPr="00035D1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ун-т.– Новосибирск: Изд-во СО РАН, 2013.–176 с.</w:t>
      </w:r>
    </w:p>
    <w:p w:rsidR="00ED5672" w:rsidRPr="00035D13" w:rsidRDefault="00ED5672" w:rsidP="0025054A">
      <w:pPr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Физические величины: справочник / под ред. И.С. Григорьева, Е.З. </w:t>
      </w:r>
      <w:proofErr w:type="spellStart"/>
      <w:r w:rsidRPr="00035D13">
        <w:rPr>
          <w:sz w:val="20"/>
          <w:szCs w:val="20"/>
        </w:rPr>
        <w:t>Мейлихова</w:t>
      </w:r>
      <w:proofErr w:type="spellEnd"/>
      <w:r w:rsidRPr="00035D13">
        <w:rPr>
          <w:sz w:val="20"/>
          <w:szCs w:val="20"/>
        </w:rPr>
        <w:t xml:space="preserve">. – М.: </w:t>
      </w:r>
      <w:proofErr w:type="spellStart"/>
      <w:r w:rsidRPr="00035D13">
        <w:rPr>
          <w:sz w:val="20"/>
          <w:szCs w:val="20"/>
        </w:rPr>
        <w:t>Энергоатомиздат</w:t>
      </w:r>
      <w:proofErr w:type="spellEnd"/>
      <w:r w:rsidRPr="00035D13">
        <w:rPr>
          <w:sz w:val="20"/>
          <w:szCs w:val="20"/>
        </w:rPr>
        <w:t>, 1991. – 1232 с.</w:t>
      </w:r>
    </w:p>
    <w:p w:rsidR="00ED5672" w:rsidRPr="00035D13" w:rsidRDefault="00ED5672" w:rsidP="0025054A">
      <w:pPr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sz w:val="20"/>
          <w:szCs w:val="20"/>
        </w:rPr>
      </w:pPr>
      <w:proofErr w:type="spellStart"/>
      <w:r w:rsidRPr="00035D13">
        <w:rPr>
          <w:color w:val="000000"/>
          <w:sz w:val="20"/>
          <w:szCs w:val="20"/>
        </w:rPr>
        <w:t>Шаркова</w:t>
      </w:r>
      <w:proofErr w:type="spellEnd"/>
      <w:r w:rsidRPr="00035D13">
        <w:rPr>
          <w:color w:val="000000"/>
          <w:sz w:val="20"/>
          <w:szCs w:val="20"/>
        </w:rPr>
        <w:t xml:space="preserve">, Т. В. Коррозионно-опасная микрофлора грунтов нефтяных месторождений Западной Сибири / Т. В. </w:t>
      </w:r>
      <w:proofErr w:type="spellStart"/>
      <w:r w:rsidRPr="00035D13">
        <w:rPr>
          <w:color w:val="000000"/>
          <w:sz w:val="20"/>
          <w:szCs w:val="20"/>
        </w:rPr>
        <w:t>Шаркова</w:t>
      </w:r>
      <w:proofErr w:type="spellEnd"/>
      <w:r w:rsidRPr="00035D13">
        <w:rPr>
          <w:color w:val="000000"/>
          <w:sz w:val="20"/>
          <w:szCs w:val="20"/>
        </w:rPr>
        <w:t xml:space="preserve">, Н. В. </w:t>
      </w:r>
      <w:proofErr w:type="spellStart"/>
      <w:r w:rsidRPr="00035D13">
        <w:rPr>
          <w:color w:val="000000"/>
          <w:sz w:val="20"/>
          <w:szCs w:val="20"/>
        </w:rPr>
        <w:t>Кутлунина</w:t>
      </w:r>
      <w:proofErr w:type="spellEnd"/>
      <w:r w:rsidRPr="00035D13">
        <w:rPr>
          <w:color w:val="000000"/>
          <w:sz w:val="20"/>
          <w:szCs w:val="20"/>
        </w:rPr>
        <w:t xml:space="preserve">, Н. П. </w:t>
      </w:r>
      <w:proofErr w:type="spellStart"/>
      <w:r w:rsidRPr="00035D13">
        <w:rPr>
          <w:color w:val="000000"/>
          <w:sz w:val="20"/>
          <w:szCs w:val="20"/>
        </w:rPr>
        <w:t>Мингалев</w:t>
      </w:r>
      <w:proofErr w:type="spellEnd"/>
      <w:r w:rsidRPr="00035D13">
        <w:rPr>
          <w:color w:val="000000"/>
          <w:sz w:val="20"/>
          <w:szCs w:val="20"/>
        </w:rPr>
        <w:t xml:space="preserve">  // Нефтяное хозяйство. –2009. – № 8. – С. 108 – 111.</w:t>
      </w:r>
    </w:p>
    <w:p w:rsidR="00ED5672" w:rsidRPr="00035D13" w:rsidRDefault="00ED5672" w:rsidP="0025054A">
      <w:pPr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 xml:space="preserve">Исследование возможности рекультивации или утилизации обезвреженных </w:t>
      </w:r>
      <w:proofErr w:type="spellStart"/>
      <w:r w:rsidRPr="00035D13">
        <w:rPr>
          <w:sz w:val="20"/>
          <w:szCs w:val="20"/>
        </w:rPr>
        <w:t>нефтезагрезнённых</w:t>
      </w:r>
      <w:proofErr w:type="spellEnd"/>
      <w:r w:rsidRPr="00035D13">
        <w:rPr>
          <w:sz w:val="20"/>
          <w:szCs w:val="20"/>
        </w:rPr>
        <w:t xml:space="preserve"> материалов после применения метода </w:t>
      </w:r>
      <w:proofErr w:type="spellStart"/>
      <w:r w:rsidRPr="00035D13">
        <w:rPr>
          <w:sz w:val="20"/>
          <w:szCs w:val="20"/>
        </w:rPr>
        <w:t>реагентного</w:t>
      </w:r>
      <w:proofErr w:type="spellEnd"/>
      <w:r w:rsidRPr="00035D13">
        <w:rPr>
          <w:sz w:val="20"/>
          <w:szCs w:val="20"/>
        </w:rPr>
        <w:t xml:space="preserve"> </w:t>
      </w:r>
      <w:proofErr w:type="spellStart"/>
      <w:r w:rsidRPr="00035D13">
        <w:rPr>
          <w:sz w:val="20"/>
          <w:szCs w:val="20"/>
        </w:rPr>
        <w:t>капсулирования</w:t>
      </w:r>
      <w:proofErr w:type="spellEnd"/>
      <w:r w:rsidRPr="00035D13">
        <w:rPr>
          <w:sz w:val="20"/>
          <w:szCs w:val="20"/>
        </w:rPr>
        <w:t xml:space="preserve"> / Л.О. </w:t>
      </w:r>
      <w:proofErr w:type="spellStart"/>
      <w:r w:rsidRPr="00035D13">
        <w:rPr>
          <w:sz w:val="20"/>
          <w:szCs w:val="20"/>
        </w:rPr>
        <w:t>Штриплинг</w:t>
      </w:r>
      <w:proofErr w:type="spellEnd"/>
      <w:r w:rsidRPr="00035D13">
        <w:rPr>
          <w:sz w:val="20"/>
          <w:szCs w:val="20"/>
        </w:rPr>
        <w:t xml:space="preserve"> [и др.] // Защита окружающей среды в нефтегазовом комплексе.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2014.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12.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44–46.</w:t>
      </w:r>
    </w:p>
    <w:p w:rsidR="00934B70" w:rsidRPr="00CC6C30" w:rsidRDefault="00ED5672" w:rsidP="0025054A">
      <w:pPr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sz w:val="20"/>
          <w:szCs w:val="20"/>
        </w:rPr>
      </w:pPr>
      <w:r w:rsidRPr="00035D13">
        <w:rPr>
          <w:sz w:val="20"/>
          <w:szCs w:val="20"/>
        </w:rPr>
        <w:t>Библиотека обработки изображен</w:t>
      </w:r>
      <w:r>
        <w:rPr>
          <w:sz w:val="20"/>
          <w:szCs w:val="20"/>
        </w:rPr>
        <w:t xml:space="preserve">ий </w:t>
      </w:r>
      <w:proofErr w:type="spellStart"/>
      <w:r>
        <w:rPr>
          <w:sz w:val="20"/>
          <w:szCs w:val="20"/>
        </w:rPr>
        <w:t>OpenCV</w:t>
      </w:r>
      <w:proofErr w:type="spellEnd"/>
      <w:r>
        <w:rPr>
          <w:sz w:val="20"/>
          <w:szCs w:val="20"/>
        </w:rPr>
        <w:t xml:space="preserve"> [Электронный ресурс].</w:t>
      </w:r>
      <w:r w:rsidRPr="00035D13">
        <w:rPr>
          <w:sz w:val="20"/>
          <w:szCs w:val="20"/>
        </w:rPr>
        <w:t>–</w:t>
      </w:r>
      <w:r w:rsidRPr="006476EA">
        <w:rPr>
          <w:sz w:val="20"/>
          <w:szCs w:val="20"/>
          <w:lang w:val="en-US"/>
        </w:rPr>
        <w:t>URL</w:t>
      </w:r>
      <w:r w:rsidRPr="006476E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035D13">
        <w:rPr>
          <w:sz w:val="20"/>
          <w:szCs w:val="20"/>
        </w:rPr>
        <w:t>http://opencv.org (01.08.2014).</w:t>
      </w:r>
    </w:p>
    <w:sectPr w:rsidR="00934B70" w:rsidRPr="00CC6C30" w:rsidSect="00992D8B">
      <w:headerReference w:type="default" r:id="rId11"/>
      <w:footerReference w:type="default" r:id="rId12"/>
      <w:pgSz w:w="11906" w:h="16838" w:code="9"/>
      <w:pgMar w:top="1021" w:right="1247" w:bottom="1247" w:left="102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E3" w:rsidRDefault="003C5AE3" w:rsidP="00E13037">
      <w:r>
        <w:separator/>
      </w:r>
    </w:p>
  </w:endnote>
  <w:endnote w:type="continuationSeparator" w:id="0">
    <w:p w:rsidR="003C5AE3" w:rsidRDefault="003C5AE3" w:rsidP="00E1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2E" w:rsidRDefault="003C5AE3">
    <w:pPr>
      <w:pStyle w:val="a6"/>
      <w:jc w:val="right"/>
    </w:pPr>
  </w:p>
  <w:p w:rsidR="000D552E" w:rsidRDefault="003C5A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E3" w:rsidRDefault="003C5AE3" w:rsidP="00E13037">
      <w:r>
        <w:separator/>
      </w:r>
    </w:p>
  </w:footnote>
  <w:footnote w:type="continuationSeparator" w:id="0">
    <w:p w:rsidR="003C5AE3" w:rsidRDefault="003C5AE3" w:rsidP="00E13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4819"/>
      <w:gridCol w:w="2268"/>
    </w:tblGrid>
    <w:tr w:rsidR="008413BB" w:rsidRPr="000D552E" w:rsidTr="00810B64">
      <w:tc>
        <w:tcPr>
          <w:tcW w:w="255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C4534" w:rsidRPr="000D552E" w:rsidRDefault="00ED5672" w:rsidP="002978E1">
          <w:pPr>
            <w:pStyle w:val="a4"/>
            <w:ind w:hanging="108"/>
            <w:rPr>
              <w:sz w:val="20"/>
              <w:szCs w:val="20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8BC780F" wp14:editId="3156B6E9">
                <wp:extent cx="1438275" cy="457200"/>
                <wp:effectExtent l="0" t="0" r="9525" b="0"/>
                <wp:docPr id="3" name="Рисунок 3" descr="logo OmGTU wbgor_на лис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OmGTU wbgor_на лис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59" t="9833" r="7466" b="95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C4534" w:rsidRPr="000D552E" w:rsidRDefault="00E456FF" w:rsidP="000D552E">
          <w:pPr>
            <w:pStyle w:val="a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Региональная</w:t>
          </w:r>
          <w:r w:rsidR="0004079C" w:rsidRPr="000D552E">
            <w:rPr>
              <w:sz w:val="16"/>
              <w:szCs w:val="16"/>
            </w:rPr>
            <w:t xml:space="preserve"> научно-</w:t>
          </w:r>
          <w:r>
            <w:rPr>
              <w:sz w:val="16"/>
              <w:szCs w:val="16"/>
            </w:rPr>
            <w:t>техническая</w:t>
          </w:r>
          <w:r w:rsidR="0004079C" w:rsidRPr="000D552E">
            <w:rPr>
              <w:sz w:val="16"/>
              <w:szCs w:val="16"/>
            </w:rPr>
            <w:t xml:space="preserve"> конференция</w:t>
          </w:r>
        </w:p>
        <w:p w:rsidR="000D552E" w:rsidRPr="000D552E" w:rsidRDefault="0004079C" w:rsidP="000D552E">
          <w:pPr>
            <w:pStyle w:val="a4"/>
            <w:jc w:val="center"/>
            <w:rPr>
              <w:sz w:val="16"/>
              <w:szCs w:val="16"/>
            </w:rPr>
          </w:pPr>
          <w:r w:rsidRPr="000D552E">
            <w:rPr>
              <w:sz w:val="16"/>
              <w:szCs w:val="16"/>
            </w:rPr>
            <w:t>«</w:t>
          </w:r>
          <w:r w:rsidR="00E456FF">
            <w:rPr>
              <w:sz w:val="16"/>
              <w:szCs w:val="16"/>
            </w:rPr>
            <w:t xml:space="preserve">Транспорт и хранение </w:t>
          </w:r>
          <w:r w:rsidRPr="000D552E">
            <w:rPr>
              <w:sz w:val="16"/>
              <w:szCs w:val="16"/>
            </w:rPr>
            <w:t>углеводородов»</w:t>
          </w:r>
        </w:p>
        <w:p w:rsidR="000C4534" w:rsidRPr="000D552E" w:rsidRDefault="00E456FF" w:rsidP="00E456FF">
          <w:pPr>
            <w:pStyle w:val="a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09</w:t>
          </w:r>
          <w:r w:rsidR="0004079C" w:rsidRPr="000D552E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апреля</w:t>
          </w:r>
          <w:r w:rsidR="0004079C" w:rsidRPr="000D552E">
            <w:rPr>
              <w:sz w:val="16"/>
              <w:szCs w:val="16"/>
            </w:rPr>
            <w:t xml:space="preserve"> 201</w:t>
          </w:r>
          <w:r>
            <w:rPr>
              <w:sz w:val="16"/>
              <w:szCs w:val="16"/>
            </w:rPr>
            <w:t>9</w:t>
          </w:r>
          <w:r w:rsidR="0004079C" w:rsidRPr="000D552E">
            <w:rPr>
              <w:sz w:val="16"/>
              <w:szCs w:val="16"/>
            </w:rPr>
            <w:t xml:space="preserve"> г.</w:t>
          </w:r>
          <w:r w:rsidR="0004079C">
            <w:rPr>
              <w:sz w:val="16"/>
              <w:szCs w:val="16"/>
            </w:rPr>
            <w:t>, Омск, Россия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0C4534" w:rsidRPr="000D552E" w:rsidRDefault="00810B64" w:rsidP="000D552E">
          <w:pPr>
            <w:pStyle w:val="a4"/>
            <w:ind w:hanging="108"/>
            <w:jc w:val="right"/>
            <w:rPr>
              <w:sz w:val="16"/>
              <w:szCs w:val="16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6B3E2DB" wp14:editId="1E12E013">
                <wp:extent cx="1362428" cy="50133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ТХУ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81" b="26429"/>
                        <a:stretch/>
                      </pic:blipFill>
                      <pic:spPr bwMode="auto">
                        <a:xfrm>
                          <a:off x="0" y="0"/>
                          <a:ext cx="1391374" cy="511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413BB" w:rsidRPr="000D552E" w:rsidTr="00810B64">
      <w:tc>
        <w:tcPr>
          <w:tcW w:w="2552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3C5AE3" w:rsidP="001F3B37">
          <w:pPr>
            <w:pStyle w:val="a4"/>
            <w:rPr>
              <w:sz w:val="16"/>
              <w:szCs w:val="16"/>
            </w:rPr>
          </w:pPr>
        </w:p>
      </w:tc>
      <w:tc>
        <w:tcPr>
          <w:tcW w:w="4819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3C5AE3" w:rsidP="001F3B37">
          <w:pPr>
            <w:pStyle w:val="a4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  <w:bottom w:val="nil"/>
          </w:tcBorders>
          <w:shd w:val="clear" w:color="auto" w:fill="auto"/>
          <w:vAlign w:val="center"/>
        </w:tcPr>
        <w:p w:rsidR="000D552E" w:rsidRPr="009C0FDE" w:rsidRDefault="003C5AE3" w:rsidP="00E436F6">
          <w:pPr>
            <w:pStyle w:val="a4"/>
            <w:rPr>
              <w:sz w:val="16"/>
              <w:szCs w:val="16"/>
            </w:rPr>
          </w:pPr>
        </w:p>
      </w:tc>
    </w:tr>
  </w:tbl>
  <w:p w:rsidR="0023286E" w:rsidRPr="000C4534" w:rsidRDefault="003C5AE3" w:rsidP="00415838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526"/>
    <w:multiLevelType w:val="hybridMultilevel"/>
    <w:tmpl w:val="44DE688C"/>
    <w:lvl w:ilvl="0" w:tplc="EC0A04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A3E91"/>
    <w:multiLevelType w:val="hybridMultilevel"/>
    <w:tmpl w:val="DC820CA2"/>
    <w:lvl w:ilvl="0" w:tplc="103E90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D743D"/>
    <w:multiLevelType w:val="hybridMultilevel"/>
    <w:tmpl w:val="D0167AC8"/>
    <w:lvl w:ilvl="0" w:tplc="F5403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72"/>
    <w:rsid w:val="0004079C"/>
    <w:rsid w:val="000778E7"/>
    <w:rsid w:val="000C0CD5"/>
    <w:rsid w:val="0025054A"/>
    <w:rsid w:val="003250FD"/>
    <w:rsid w:val="003866ED"/>
    <w:rsid w:val="003C5AE3"/>
    <w:rsid w:val="00496965"/>
    <w:rsid w:val="00546829"/>
    <w:rsid w:val="006504E0"/>
    <w:rsid w:val="007A3435"/>
    <w:rsid w:val="00810B64"/>
    <w:rsid w:val="008D4E96"/>
    <w:rsid w:val="00934B70"/>
    <w:rsid w:val="00992D8B"/>
    <w:rsid w:val="00A047C7"/>
    <w:rsid w:val="00A95F4B"/>
    <w:rsid w:val="00AC077B"/>
    <w:rsid w:val="00AD6FF1"/>
    <w:rsid w:val="00CC6C30"/>
    <w:rsid w:val="00D07905"/>
    <w:rsid w:val="00E13037"/>
    <w:rsid w:val="00E456FF"/>
    <w:rsid w:val="00ED5672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7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34B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5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67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ED56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56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56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56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34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7;&#1072;&#1075;&#1088;&#1091;&#1079;&#1082;&#1080;\&#1052;&#1080;&#1095;&#1080;&#1075;&#1072;&#1085;_&#1055;&#1058;&#1055;_2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585074423486236"/>
          <c:y val="7.467630136173746E-2"/>
          <c:w val="0.78941385204920722"/>
          <c:h val="0.64116707748018542"/>
        </c:manualLayout>
      </c:layout>
      <c:scatterChart>
        <c:scatterStyle val="smoothMarker"/>
        <c:varyColors val="0"/>
        <c:ser>
          <c:idx val="1"/>
          <c:order val="0"/>
          <c:marker>
            <c:symbol val="none"/>
          </c:marker>
          <c:xVal>
            <c:numRef>
              <c:f>[Мичиган_ПТП_2.xlsx]Лист1!$A$2:$A$9</c:f>
              <c:numCache>
                <c:formatCode>General</c:formatCode>
                <c:ptCount val="8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25</c:v>
                </c:pt>
                <c:pt idx="6">
                  <c:v>30</c:v>
                </c:pt>
                <c:pt idx="7">
                  <c:v>40</c:v>
                </c:pt>
              </c:numCache>
            </c:numRef>
          </c:xVal>
          <c:yVal>
            <c:numRef>
              <c:f>[Мичиган_ПТП_2.xlsx]Лист1!$G$2:$G$9</c:f>
              <c:numCache>
                <c:formatCode>General</c:formatCode>
                <c:ptCount val="8"/>
                <c:pt idx="0">
                  <c:v>0</c:v>
                </c:pt>
                <c:pt idx="1">
                  <c:v>0.33087133468157159</c:v>
                </c:pt>
                <c:pt idx="2">
                  <c:v>0.43785660446523511</c:v>
                </c:pt>
                <c:pt idx="3">
                  <c:v>0.48761027271954205</c:v>
                </c:pt>
                <c:pt idx="4">
                  <c:v>0.51947052948330086</c:v>
                </c:pt>
                <c:pt idx="5">
                  <c:v>0.53070917484092162</c:v>
                </c:pt>
                <c:pt idx="6">
                  <c:v>0.53070917484092162</c:v>
                </c:pt>
                <c:pt idx="7">
                  <c:v>0.53070917484092162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4851840"/>
        <c:axId val="264854144"/>
      </c:scatterChart>
      <c:valAx>
        <c:axId val="264851840"/>
        <c:scaling>
          <c:orientation val="minMax"/>
          <c:max val="40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i="1">
                    <a:latin typeface="Times New Roman"/>
                    <a:cs typeface="Times New Roman"/>
                  </a:rPr>
                  <a:t>θ</a:t>
                </a:r>
                <a:r>
                  <a:rPr lang="ru-RU" baseline="0"/>
                  <a:t>, г/т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50822522995863328"/>
              <c:y val="0.8977124832150774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64854144"/>
        <c:crosses val="autoZero"/>
        <c:crossBetween val="midCat"/>
      </c:valAx>
      <c:valAx>
        <c:axId val="2648541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l-GR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ψ</a:t>
                </a:r>
                <a:r>
                  <a:rPr lang="ru-RU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</a:t>
                </a:r>
                <a:r>
                  <a:rPr lang="el-GR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θ</a:t>
                </a:r>
                <a:r>
                  <a:rPr lang="ru-RU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r>
                  <a:rPr lang="ru-RU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доли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4851840"/>
        <c:crosses val="autoZero"/>
        <c:crossBetween val="midCat"/>
      </c:valAx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2019-03-05T14:14:00Z</dcterms:created>
  <dcterms:modified xsi:type="dcterms:W3CDTF">2019-03-05T15:59:00Z</dcterms:modified>
</cp:coreProperties>
</file>